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657EE">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○津市サンヒルズ安濃の設置及び管理に関する条例</w:t>
      </w:r>
    </w:p>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18</w:t>
      </w:r>
      <w:r>
        <w:rPr>
          <w:rFonts w:ascii="ＭＳ 明朝" w:eastAsia="ＭＳ 明朝" w:cs="ＭＳ 明朝" w:hint="eastAsia"/>
          <w:kern w:val="0"/>
          <w:sz w:val="22"/>
          <w:lang w:val="ja-JP"/>
        </w:rPr>
        <w:t>年１月１日条例第</w:t>
      </w:r>
      <w:r>
        <w:rPr>
          <w:rFonts w:ascii="ＭＳ 明朝" w:eastAsia="ＭＳ 明朝" w:cs="ＭＳ 明朝"/>
          <w:kern w:val="0"/>
          <w:sz w:val="22"/>
          <w:lang w:val="ja-JP"/>
        </w:rPr>
        <w:t>94</w:t>
      </w:r>
      <w:r>
        <w:rPr>
          <w:rFonts w:ascii="ＭＳ 明朝" w:eastAsia="ＭＳ 明朝" w:cs="ＭＳ 明朝" w:hint="eastAsia"/>
          <w:kern w:val="0"/>
          <w:sz w:val="22"/>
          <w:lang w:val="ja-JP"/>
        </w:rPr>
        <w:t>号</w:t>
      </w:r>
    </w:p>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別表第１</w:t>
      </w:r>
      <w:r>
        <w:rPr>
          <w:rFonts w:ascii="ＭＳ 明朝" w:eastAsia="ＭＳ 明朝" w:cs="ＭＳ 明朝" w:hint="eastAsia"/>
          <w:kern w:val="0"/>
          <w:sz w:val="22"/>
          <w:lang w:val="ja-JP"/>
        </w:rPr>
        <w:t>（第８条関係）</w:t>
      </w: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606"/>
        <w:gridCol w:w="606"/>
        <w:gridCol w:w="606"/>
        <w:gridCol w:w="606"/>
        <w:gridCol w:w="809"/>
        <w:gridCol w:w="1011"/>
        <w:gridCol w:w="1011"/>
        <w:gridCol w:w="1011"/>
        <w:gridCol w:w="1011"/>
        <w:gridCol w:w="1011"/>
        <w:gridCol w:w="1011"/>
      </w:tblGrid>
      <w:tr w:rsidR="00000000">
        <w:tblPrEx>
          <w:tblCellMar>
            <w:top w:w="0" w:type="dxa"/>
            <w:left w:w="0" w:type="dxa"/>
            <w:bottom w:w="0" w:type="dxa"/>
            <w:right w:w="0" w:type="dxa"/>
          </w:tblCellMar>
        </w:tblPrEx>
        <w:tc>
          <w:tcPr>
            <w:tcW w:w="9299" w:type="dxa"/>
            <w:gridSpan w:val="11"/>
            <w:tcBorders>
              <w:top w:val="nil"/>
              <w:left w:val="nil"/>
              <w:bottom w:val="nil"/>
              <w:right w:val="nil"/>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ハーモニーホールの施設使用料</w:t>
            </w:r>
          </w:p>
        </w:tc>
      </w:tr>
      <w:tr w:rsidR="00000000">
        <w:tblPrEx>
          <w:tblCellMar>
            <w:top w:w="0" w:type="dxa"/>
            <w:left w:w="0" w:type="dxa"/>
            <w:bottom w:w="0" w:type="dxa"/>
            <w:right w:w="0" w:type="dxa"/>
          </w:tblCellMar>
        </w:tblPrEx>
        <w:tc>
          <w:tcPr>
            <w:tcW w:w="9299" w:type="dxa"/>
            <w:gridSpan w:val="11"/>
            <w:tcBorders>
              <w:top w:val="nil"/>
              <w:left w:val="nil"/>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c>
      </w:tr>
      <w:tr w:rsidR="00000000">
        <w:tblPrEx>
          <w:tblCellMar>
            <w:top w:w="0" w:type="dxa"/>
            <w:left w:w="0" w:type="dxa"/>
            <w:bottom w:w="0" w:type="dxa"/>
            <w:right w:w="0" w:type="dxa"/>
          </w:tblCellMar>
        </w:tblPrEx>
        <w:tc>
          <w:tcPr>
            <w:tcW w:w="3233" w:type="dxa"/>
            <w:gridSpan w:val="5"/>
            <w:tcBorders>
              <w:top w:val="single" w:sz="6" w:space="0" w:color="auto"/>
              <w:left w:val="single" w:sz="6" w:space="0" w:color="auto"/>
              <w:bottom w:val="nil"/>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時間区分</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①</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②</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③</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④</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⑤</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⑥</w:t>
            </w:r>
          </w:p>
        </w:tc>
      </w:tr>
      <w:tr w:rsidR="00000000">
        <w:tblPrEx>
          <w:tblCellMar>
            <w:top w:w="0" w:type="dxa"/>
            <w:left w:w="0" w:type="dxa"/>
            <w:bottom w:w="0" w:type="dxa"/>
            <w:right w:w="0" w:type="dxa"/>
          </w:tblCellMar>
        </w:tblPrEx>
        <w:tc>
          <w:tcPr>
            <w:tcW w:w="3233" w:type="dxa"/>
            <w:gridSpan w:val="5"/>
            <w:tcBorders>
              <w:top w:val="nil"/>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使用区分</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午前９時から正午まで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午後１時から午後５時まで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午後６時から午後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午前９時から午後５時まで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午後１時から午後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午前９時から</w:t>
            </w:r>
            <w:r>
              <w:rPr>
                <w:rFonts w:ascii="ＭＳ 明朝" w:eastAsia="ＭＳ 明朝" w:cs="ＭＳ 明朝" w:hint="eastAsia"/>
                <w:kern w:val="0"/>
                <w:sz w:val="22"/>
                <w:lang w:val="ja-JP"/>
              </w:rPr>
              <w:t>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w:t>
            </w:r>
          </w:p>
        </w:tc>
      </w:tr>
      <w:tr w:rsidR="00000000">
        <w:tblPrEx>
          <w:tblCellMar>
            <w:top w:w="0" w:type="dxa"/>
            <w:left w:w="0" w:type="dxa"/>
            <w:bottom w:w="0" w:type="dxa"/>
            <w:right w:w="0" w:type="dxa"/>
          </w:tblCellMar>
        </w:tblPrEx>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平日の使用</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37,000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47,000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w:t>
            </w:r>
            <w:r>
              <w:rPr>
                <w:rFonts w:ascii="ＭＳ 明朝" w:eastAsia="ＭＳ 明朝" w:cs="ＭＳ 明朝" w:hint="eastAsia"/>
                <w:kern w:val="0"/>
                <w:sz w:val="22"/>
                <w:lang w:val="ja-JP"/>
              </w:rPr>
              <w:lastRenderedPageBreak/>
              <w:t>宣伝を目的とする場合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lastRenderedPageBreak/>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lastRenderedPageBreak/>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w:t>
            </w:r>
            <w:r>
              <w:rPr>
                <w:rFonts w:ascii="ＭＳ 明朝" w:eastAsia="ＭＳ 明朝" w:cs="ＭＳ 明朝" w:hint="eastAsia"/>
                <w:kern w:val="0"/>
                <w:sz w:val="22"/>
                <w:lang w:val="ja-JP"/>
              </w:rPr>
              <w:t>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93,000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土曜日、日曜日又は休日の使用</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84,000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51,000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55,000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64,000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w:t>
            </w:r>
            <w:r>
              <w:rPr>
                <w:rFonts w:ascii="ＭＳ 明朝" w:eastAsia="ＭＳ 明朝" w:cs="ＭＳ 明朝" w:hint="eastAsia"/>
                <w:kern w:val="0"/>
                <w:sz w:val="22"/>
                <w:lang w:val="ja-JP"/>
              </w:rPr>
              <w:lastRenderedPageBreak/>
              <w:t>又は宣伝を目的とする場合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入場料</w:t>
            </w:r>
            <w:r>
              <w:rPr>
                <w:rFonts w:ascii="ＭＳ 明朝" w:eastAsia="ＭＳ 明朝" w:cs="ＭＳ 明朝" w:hint="eastAsia"/>
                <w:kern w:val="0"/>
                <w:sz w:val="22"/>
                <w:lang w:val="ja-JP"/>
              </w:rPr>
              <w:lastRenderedPageBreak/>
              <w:t>等</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lastRenderedPageBreak/>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84,000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106,000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126,000</w:t>
            </w:r>
          </w:p>
        </w:tc>
      </w:tr>
      <w:tr w:rsidR="00000000">
        <w:tblPrEx>
          <w:tblCellMar>
            <w:top w:w="0" w:type="dxa"/>
            <w:left w:w="0" w:type="dxa"/>
            <w:bottom w:w="0" w:type="dxa"/>
            <w:right w:w="0" w:type="dxa"/>
          </w:tblCellMar>
        </w:tblPrEx>
        <w:tc>
          <w:tcPr>
            <w:tcW w:w="9299" w:type="dxa"/>
            <w:gridSpan w:val="11"/>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休日とは、国民の祝日に関する法律（昭和</w:t>
            </w:r>
            <w:r>
              <w:rPr>
                <w:rFonts w:ascii="ＭＳ 明朝" w:eastAsia="ＭＳ 明朝" w:cs="ＭＳ 明朝"/>
                <w:kern w:val="0"/>
                <w:sz w:val="22"/>
                <w:lang w:val="ja-JP"/>
              </w:rPr>
              <w:t>23</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178</w:t>
            </w:r>
            <w:r>
              <w:rPr>
                <w:rFonts w:ascii="ＭＳ 明朝" w:eastAsia="ＭＳ 明朝" w:cs="ＭＳ 明朝" w:hint="eastAsia"/>
                <w:kern w:val="0"/>
                <w:sz w:val="22"/>
                <w:lang w:val="ja-JP"/>
              </w:rPr>
              <w:t>号）に規定する休日をいう。</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入場料等を徴収する場合とは、入場料、観覧料、寄附、入場券、招待券、優待券、整理券、会員券、資金募集等名目のいかんを問わず、入場について直接又は間接に金銭の支出を必要とする場合をいう。</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３　使用の許可を受けた時間</w:t>
            </w:r>
            <w:r>
              <w:rPr>
                <w:rFonts w:ascii="ＭＳ 明朝" w:eastAsia="ＭＳ 明朝" w:cs="ＭＳ 明朝" w:hint="eastAsia"/>
                <w:kern w:val="0"/>
                <w:sz w:val="22"/>
                <w:lang w:val="ja-JP"/>
              </w:rPr>
              <w:t>を超える使用は、施設の使用に関し支障がない限り、１時間を限度として認めることとし、その超過に係る使用料は、次の各号に掲げる時間区分を超える使用にあっては、それぞれ当該各号に定める金額とする。</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時間区分①　時間区分①の使用料の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時間区分②及び④　時間区分②の使用料の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時間区分③、⑤及び⑥　時間区分③の使用料の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４　ハーモニーホールをその使用区分に係る準備若しくは原状回復又はリハーサルのために使用する場合における使用料は、当該使用区分に係る時間区</w:t>
            </w:r>
            <w:r>
              <w:rPr>
                <w:rFonts w:ascii="ＭＳ 明朝" w:eastAsia="ＭＳ 明朝" w:cs="ＭＳ 明朝" w:hint="eastAsia"/>
                <w:kern w:val="0"/>
                <w:sz w:val="22"/>
                <w:lang w:val="ja-JP"/>
              </w:rPr>
              <w:t>分の使用料の２分の１の額とする。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５　ハーモニーホールを練習使用（次の各号のいずれにも該当する使用をいう。以下この表及び別表第４において同じ。）する場合における使用料は、一般使用に係るものにあっては１時間（使用時間が１時間に満たないときは、１時間とする。以下この表において同じ。）につき</w:t>
            </w:r>
            <w:r>
              <w:rPr>
                <w:rFonts w:ascii="ＭＳ 明朝" w:eastAsia="ＭＳ 明朝" w:cs="ＭＳ 明朝"/>
                <w:kern w:val="0"/>
                <w:sz w:val="22"/>
                <w:lang w:val="ja-JP"/>
              </w:rPr>
              <w:t>600</w:t>
            </w:r>
            <w:r>
              <w:rPr>
                <w:rFonts w:ascii="ＭＳ 明朝" w:eastAsia="ＭＳ 明朝" w:cs="ＭＳ 明朝" w:hint="eastAsia"/>
                <w:kern w:val="0"/>
                <w:sz w:val="22"/>
                <w:lang w:val="ja-JP"/>
              </w:rPr>
              <w:t>円、営利又は宣伝を目的とする使用に係るものにあっては１時間につき</w:t>
            </w:r>
            <w:r>
              <w:rPr>
                <w:rFonts w:ascii="ＭＳ 明朝" w:eastAsia="ＭＳ 明朝" w:cs="ＭＳ 明朝"/>
                <w:kern w:val="0"/>
                <w:sz w:val="22"/>
                <w:lang w:val="ja-JP"/>
              </w:rPr>
              <w:t>1,200</w:t>
            </w:r>
            <w:r>
              <w:rPr>
                <w:rFonts w:ascii="ＭＳ 明朝" w:eastAsia="ＭＳ 明朝" w:cs="ＭＳ 明朝" w:hint="eastAsia"/>
                <w:kern w:val="0"/>
                <w:sz w:val="22"/>
                <w:lang w:val="ja-JP"/>
              </w:rPr>
              <w:t>円とする。</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使用者以外を入場させず、客席以外の部分に限って行う舞台練習を目的とする使用であること。</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連続する時間区分に係る使用にお</w:t>
            </w:r>
            <w:r>
              <w:rPr>
                <w:rFonts w:ascii="ＭＳ 明朝" w:eastAsia="ＭＳ 明朝" w:cs="ＭＳ 明朝" w:hint="eastAsia"/>
                <w:kern w:val="0"/>
                <w:sz w:val="22"/>
                <w:lang w:val="ja-JP"/>
              </w:rPr>
              <w:t>いて、本番使用を含まない使用であること。</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６　冷暖房時の使用料については、１時間につき</w:t>
            </w:r>
            <w:r>
              <w:rPr>
                <w:rFonts w:ascii="ＭＳ 明朝" w:eastAsia="ＭＳ 明朝" w:cs="ＭＳ 明朝"/>
                <w:kern w:val="0"/>
                <w:sz w:val="22"/>
                <w:lang w:val="ja-JP"/>
              </w:rPr>
              <w:t>1,000</w:t>
            </w:r>
            <w:r>
              <w:rPr>
                <w:rFonts w:ascii="ＭＳ 明朝" w:eastAsia="ＭＳ 明朝" w:cs="ＭＳ 明朝" w:hint="eastAsia"/>
                <w:kern w:val="0"/>
                <w:sz w:val="22"/>
                <w:lang w:val="ja-JP"/>
              </w:rPr>
              <w:t>円（練習使用の場合にあっては、</w:t>
            </w:r>
            <w:r>
              <w:rPr>
                <w:rFonts w:ascii="ＭＳ 明朝" w:eastAsia="ＭＳ 明朝" w:cs="ＭＳ 明朝"/>
                <w:kern w:val="0"/>
                <w:sz w:val="22"/>
                <w:lang w:val="ja-JP"/>
              </w:rPr>
              <w:t>500</w:t>
            </w:r>
            <w:r>
              <w:rPr>
                <w:rFonts w:ascii="ＭＳ 明朝" w:eastAsia="ＭＳ 明朝" w:cs="ＭＳ 明朝" w:hint="eastAsia"/>
                <w:kern w:val="0"/>
                <w:sz w:val="22"/>
                <w:lang w:val="ja-JP"/>
              </w:rPr>
              <w:t>円）を加算する。</w:t>
            </w:r>
          </w:p>
        </w:tc>
      </w:tr>
    </w:tbl>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別表第２</w:t>
      </w:r>
      <w:r>
        <w:rPr>
          <w:rFonts w:ascii="ＭＳ 明朝" w:eastAsia="ＭＳ 明朝" w:cs="ＭＳ 明朝" w:hint="eastAsia"/>
          <w:kern w:val="0"/>
          <w:sz w:val="22"/>
          <w:lang w:val="ja-JP"/>
        </w:rPr>
        <w:t>（第８条関係）</w:t>
      </w: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016"/>
        <w:gridCol w:w="4021"/>
        <w:gridCol w:w="2262"/>
      </w:tblGrid>
      <w:tr w:rsidR="00000000">
        <w:tblPrEx>
          <w:tblCellMar>
            <w:top w:w="0" w:type="dxa"/>
            <w:left w:w="0" w:type="dxa"/>
            <w:bottom w:w="0" w:type="dxa"/>
            <w:right w:w="0" w:type="dxa"/>
          </w:tblCellMar>
        </w:tblPrEx>
        <w:tc>
          <w:tcPr>
            <w:tcW w:w="9299" w:type="dxa"/>
            <w:gridSpan w:val="3"/>
            <w:tcBorders>
              <w:top w:val="nil"/>
              <w:left w:val="nil"/>
              <w:bottom w:val="nil"/>
              <w:right w:val="nil"/>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ハーモニーホール附属会議施設等及び交流広場の施設使用料</w:t>
            </w:r>
          </w:p>
        </w:tc>
      </w:tr>
      <w:tr w:rsidR="00000000">
        <w:tblPrEx>
          <w:tblCellMar>
            <w:top w:w="0" w:type="dxa"/>
            <w:left w:w="0" w:type="dxa"/>
            <w:bottom w:w="0" w:type="dxa"/>
            <w:right w:w="0" w:type="dxa"/>
          </w:tblCellMar>
        </w:tblPrEx>
        <w:tc>
          <w:tcPr>
            <w:tcW w:w="9299" w:type="dxa"/>
            <w:gridSpan w:val="3"/>
            <w:tcBorders>
              <w:top w:val="nil"/>
              <w:left w:val="nil"/>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c>
      </w:tr>
      <w:tr w:rsidR="00000000">
        <w:tblPrEx>
          <w:tblCellMar>
            <w:top w:w="0" w:type="dxa"/>
            <w:left w:w="0" w:type="dxa"/>
            <w:bottom w:w="0" w:type="dxa"/>
            <w:right w:w="0" w:type="dxa"/>
          </w:tblCellMar>
        </w:tblPrEx>
        <w:tc>
          <w:tcPr>
            <w:tcW w:w="70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使用区分</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使用時間１時間当たりの使用料</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アートスペース</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エントランスホール</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カルチャールームＡ</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w:t>
            </w:r>
            <w:r>
              <w:rPr>
                <w:rFonts w:ascii="ＭＳ 明朝" w:eastAsia="ＭＳ 明朝" w:cs="ＭＳ 明朝" w:hint="eastAsia"/>
                <w:kern w:val="0"/>
                <w:sz w:val="22"/>
                <w:lang w:val="ja-JP"/>
              </w:rPr>
              <w:t>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カルチャールームＢ</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カルチャールームＣ</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ミュージックルームＡ</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ミュージックルームＢ</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和室</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交流広場</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w:t>
            </w:r>
            <w:r>
              <w:rPr>
                <w:rFonts w:ascii="ＭＳ 明朝" w:eastAsia="ＭＳ 明朝" w:cs="ＭＳ 明朝" w:hint="eastAsia"/>
                <w:kern w:val="0"/>
                <w:sz w:val="22"/>
                <w:lang w:val="ja-JP"/>
              </w:rPr>
              <w:t>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600</w:t>
            </w:r>
          </w:p>
        </w:tc>
      </w:tr>
      <w:tr w:rsidR="00000000">
        <w:tblPrEx>
          <w:tblCellMar>
            <w:top w:w="0" w:type="dxa"/>
            <w:left w:w="0" w:type="dxa"/>
            <w:bottom w:w="0" w:type="dxa"/>
            <w:right w:w="0" w:type="dxa"/>
          </w:tblCellMar>
        </w:tblPrEx>
        <w:tc>
          <w:tcPr>
            <w:tcW w:w="9299" w:type="dxa"/>
            <w:gridSpan w:val="3"/>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使用時間が１時間に満たないときの当該使用時間は、１時間とする。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冷暖房時の使用料（エントランスホール及び交流広場に係る使用料を除く。）については、当該施設使用料の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分の３の額を加算する。</w:t>
            </w:r>
          </w:p>
        </w:tc>
      </w:tr>
    </w:tbl>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別表第３</w:t>
      </w:r>
      <w:r>
        <w:rPr>
          <w:rFonts w:ascii="ＭＳ 明朝" w:eastAsia="ＭＳ 明朝" w:cs="ＭＳ 明朝" w:hint="eastAsia"/>
          <w:kern w:val="0"/>
          <w:sz w:val="22"/>
          <w:lang w:val="ja-JP"/>
        </w:rPr>
        <w:t>（第８条関係）</w:t>
      </w:r>
    </w:p>
    <w:p w:rsidR="00000000" w:rsidRDefault="00A657EE">
      <w:pPr>
        <w:keepNext/>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交流施設等の施設使用料</w:t>
      </w:r>
    </w:p>
    <w:p w:rsidR="00000000" w:rsidRDefault="00A657EE">
      <w:pPr>
        <w:keepNext/>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430"/>
        <w:gridCol w:w="1431"/>
        <w:gridCol w:w="1431"/>
        <w:gridCol w:w="1907"/>
        <w:gridCol w:w="1669"/>
        <w:gridCol w:w="1431"/>
      </w:tblGrid>
      <w:tr w:rsidR="00000000">
        <w:tblPrEx>
          <w:tblCellMar>
            <w:top w:w="0" w:type="dxa"/>
            <w:left w:w="0" w:type="dxa"/>
            <w:bottom w:w="0" w:type="dxa"/>
            <w:right w:w="0" w:type="dxa"/>
          </w:tblCellMar>
        </w:tblPrEx>
        <w:tc>
          <w:tcPr>
            <w:tcW w:w="619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ind w:firstLine="2200"/>
              <w:jc w:val="left"/>
              <w:rPr>
                <w:rFonts w:ascii="ＭＳ 明朝" w:eastAsia="ＭＳ 明朝" w:cs="ＭＳ 明朝"/>
                <w:kern w:val="0"/>
                <w:sz w:val="22"/>
                <w:lang w:val="ja-JP"/>
              </w:rPr>
            </w:pPr>
            <w:r>
              <w:rPr>
                <w:rFonts w:ascii="ＭＳ 明朝" w:eastAsia="ＭＳ 明朝" w:cs="ＭＳ 明朝" w:hint="eastAsia"/>
                <w:kern w:val="0"/>
                <w:sz w:val="22"/>
                <w:lang w:val="ja-JP"/>
              </w:rPr>
              <w:t>使用区分</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使用時間１時間当たりの使用料</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大会議室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4,190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w:t>
            </w:r>
            <w:r>
              <w:rPr>
                <w:rFonts w:ascii="ＭＳ 明朝" w:eastAsia="ＭＳ 明朝" w:cs="ＭＳ 明朝" w:hint="eastAsia"/>
                <w:kern w:val="0"/>
                <w:sz w:val="22"/>
                <w:lang w:val="ja-JP"/>
              </w:rPr>
              <w:t>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8,380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3,770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中会議室１</w:t>
            </w:r>
          </w:p>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中会議室２</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w:t>
            </w:r>
            <w:r>
              <w:rPr>
                <w:rFonts w:ascii="ＭＳ 明朝" w:eastAsia="ＭＳ 明朝" w:cs="ＭＳ 明朝" w:hint="eastAsia"/>
                <w:kern w:val="0"/>
                <w:sz w:val="22"/>
                <w:lang w:val="ja-JP"/>
              </w:rPr>
              <w:t>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4,190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5,230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1,250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1,880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小</w:t>
            </w:r>
            <w:r>
              <w:rPr>
                <w:rFonts w:ascii="ＭＳ 明朝" w:eastAsia="ＭＳ 明朝" w:cs="ＭＳ 明朝" w:hint="eastAsia"/>
                <w:kern w:val="0"/>
                <w:sz w:val="22"/>
                <w:lang w:val="ja-JP"/>
              </w:rPr>
              <w:t>会議室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w:t>
            </w:r>
            <w:r>
              <w:rPr>
                <w:rFonts w:ascii="ＭＳ 明朝" w:eastAsia="ＭＳ 明朝" w:cs="ＭＳ 明朝" w:hint="eastAsia"/>
                <w:kern w:val="0"/>
                <w:sz w:val="22"/>
                <w:lang w:val="ja-JP"/>
              </w:rPr>
              <w:t>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940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相談室１</w:t>
            </w:r>
          </w:p>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相談室２</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w:t>
            </w:r>
            <w:r>
              <w:rPr>
                <w:rFonts w:ascii="ＭＳ 明朝" w:eastAsia="ＭＳ 明朝" w:cs="ＭＳ 明朝" w:hint="eastAsia"/>
                <w:kern w:val="0"/>
                <w:sz w:val="22"/>
                <w:lang w:val="ja-JP"/>
              </w:rPr>
              <w:t>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940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調理室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1,460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730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2,200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2,930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3,660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w:t>
            </w:r>
            <w:r>
              <w:rPr>
                <w:rFonts w:ascii="ＭＳ 明朝" w:eastAsia="ＭＳ 明朝" w:cs="ＭＳ 明朝" w:hint="eastAsia"/>
                <w:kern w:val="0"/>
                <w:sz w:val="22"/>
                <w:lang w:val="ja-JP"/>
              </w:rPr>
              <w:t>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1,100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1,320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レクリエーション室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w:t>
            </w:r>
            <w:r>
              <w:rPr>
                <w:rFonts w:ascii="ＭＳ 明朝" w:eastAsia="ＭＳ 明朝" w:cs="ＭＳ 明朝" w:hint="eastAsia"/>
                <w:kern w:val="0"/>
                <w:sz w:val="22"/>
                <w:lang w:val="ja-JP"/>
              </w:rPr>
              <w:t>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940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教養娯楽室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4,190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8,380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3,770</w:t>
            </w:r>
          </w:p>
        </w:tc>
      </w:tr>
      <w:tr w:rsidR="00000000">
        <w:tblPrEx>
          <w:tblCellMar>
            <w:top w:w="0" w:type="dxa"/>
            <w:left w:w="0" w:type="dxa"/>
            <w:bottom w:w="0" w:type="dxa"/>
            <w:right w:w="0" w:type="dxa"/>
          </w:tblCellMar>
        </w:tblPrEx>
        <w:tc>
          <w:tcPr>
            <w:tcW w:w="9299" w:type="dxa"/>
            <w:gridSpan w:val="6"/>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入場料等を徴収する場合とは、入場料、観覧料、寄附、入場券、招待券、優待券、整理券、会員券、資金募集等名目のいかんを問わず、入場について直接又は間接に金銭の支出を必要とする場合をいう。</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入場料等の額とは、１人ごとの入場料等の額のうち最高の金額をいう。</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３　使用時間に１時間未満</w:t>
            </w:r>
            <w:r>
              <w:rPr>
                <w:rFonts w:ascii="ＭＳ 明朝" w:eastAsia="ＭＳ 明朝" w:cs="ＭＳ 明朝" w:hint="eastAsia"/>
                <w:kern w:val="0"/>
                <w:sz w:val="22"/>
                <w:lang w:val="ja-JP"/>
              </w:rPr>
              <w:t>の端数があるとき、又は使用時間が１時間未満であるときは、これらを１時間とする。</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４　冷暖房時の使用料については、当該使用料の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円未満の端数があるときは、その端数を切り捨てた額）を加算する。</w:t>
            </w:r>
          </w:p>
        </w:tc>
      </w:tr>
    </w:tbl>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別表第４</w:t>
      </w:r>
      <w:r>
        <w:rPr>
          <w:rFonts w:ascii="ＭＳ 明朝" w:eastAsia="ＭＳ 明朝" w:cs="ＭＳ 明朝" w:hint="eastAsia"/>
          <w:kern w:val="0"/>
          <w:sz w:val="22"/>
          <w:lang w:val="ja-JP"/>
        </w:rPr>
        <w:t>（第８条関係）</w:t>
      </w: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005"/>
        <w:gridCol w:w="3770"/>
        <w:gridCol w:w="3016"/>
        <w:gridCol w:w="1508"/>
      </w:tblGrid>
      <w:tr w:rsidR="00000000">
        <w:tblPrEx>
          <w:tblCellMar>
            <w:top w:w="0" w:type="dxa"/>
            <w:left w:w="0" w:type="dxa"/>
            <w:bottom w:w="0" w:type="dxa"/>
            <w:right w:w="0" w:type="dxa"/>
          </w:tblCellMar>
        </w:tblPrEx>
        <w:tc>
          <w:tcPr>
            <w:tcW w:w="9299" w:type="dxa"/>
            <w:gridSpan w:val="4"/>
            <w:tcBorders>
              <w:top w:val="nil"/>
              <w:left w:val="nil"/>
              <w:bottom w:val="nil"/>
              <w:right w:val="nil"/>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ハーモニーホールその他施設の設備器具使用料</w:t>
            </w:r>
          </w:p>
        </w:tc>
      </w:tr>
      <w:tr w:rsidR="00000000">
        <w:tblPrEx>
          <w:tblCellMar>
            <w:top w:w="0" w:type="dxa"/>
            <w:left w:w="0" w:type="dxa"/>
            <w:bottom w:w="0" w:type="dxa"/>
            <w:right w:w="0" w:type="dxa"/>
          </w:tblCellMar>
        </w:tblPrEx>
        <w:tc>
          <w:tcPr>
            <w:tcW w:w="9299" w:type="dxa"/>
            <w:gridSpan w:val="4"/>
            <w:tcBorders>
              <w:top w:val="nil"/>
              <w:left w:val="nil"/>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c>
      </w:tr>
      <w:tr w:rsidR="00000000">
        <w:tblPrEx>
          <w:tblCellMar>
            <w:top w:w="0" w:type="dxa"/>
            <w:left w:w="0" w:type="dxa"/>
            <w:bottom w:w="0" w:type="dxa"/>
            <w:right w:w="0" w:type="dxa"/>
          </w:tblCellMar>
        </w:tblPrEx>
        <w:tc>
          <w:tcPr>
            <w:tcW w:w="47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名称</w:t>
            </w:r>
          </w:p>
        </w:tc>
        <w:tc>
          <w:tcPr>
            <w:tcW w:w="3016"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区分</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使用料</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舞台設備器具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所作台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１式（化粧框</w:t>
            </w:r>
            <w:r>
              <w:rPr>
                <w:rFonts w:ascii="ＭＳ 明朝" w:eastAsia="ＭＳ 明朝" w:cs="ＭＳ 明朝"/>
                <w:kern w:val="0"/>
                <w:sz w:val="22"/>
                <w:lang w:val="ja-JP"/>
              </w:rPr>
              <w:t>(</w:t>
            </w:r>
            <w:r>
              <w:rPr>
                <w:rFonts w:ascii="ＭＳ 明朝" w:eastAsia="ＭＳ 明朝" w:cs="ＭＳ 明朝" w:hint="eastAsia"/>
                <w:kern w:val="0"/>
                <w:sz w:val="22"/>
                <w:lang w:val="ja-JP"/>
              </w:rPr>
              <w:t>がまち</w:t>
            </w:r>
            <w:r>
              <w:rPr>
                <w:rFonts w:ascii="ＭＳ 明朝" w:eastAsia="ＭＳ 明朝" w:cs="ＭＳ 明朝"/>
                <w:kern w:val="0"/>
                <w:sz w:val="22"/>
                <w:lang w:val="ja-JP"/>
              </w:rPr>
              <w:t>)</w:t>
            </w:r>
            <w:r>
              <w:rPr>
                <w:rFonts w:ascii="ＭＳ 明朝" w:eastAsia="ＭＳ 明朝" w:cs="ＭＳ 明朝" w:hint="eastAsia"/>
                <w:kern w:val="0"/>
                <w:sz w:val="22"/>
                <w:lang w:val="ja-JP"/>
              </w:rPr>
              <w:t>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1,670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平台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蹴込み</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松羽目</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金びょうぶ</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１双</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長胴太鼓</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めくり台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指揮者台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指揮者用譜面台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楽士用譜面台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姿見</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地がすり</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紗</w:t>
            </w:r>
            <w:r>
              <w:rPr>
                <w:rFonts w:ascii="ＭＳ 明朝" w:eastAsia="ＭＳ 明朝" w:cs="ＭＳ 明朝"/>
                <w:kern w:val="0"/>
                <w:sz w:val="22"/>
                <w:lang w:val="ja-JP"/>
              </w:rPr>
              <w:t>(</w:t>
            </w:r>
            <w:r>
              <w:rPr>
                <w:rFonts w:ascii="ＭＳ 明朝" w:eastAsia="ＭＳ 明朝" w:cs="ＭＳ 明朝" w:hint="eastAsia"/>
                <w:kern w:val="0"/>
                <w:sz w:val="22"/>
                <w:lang w:val="ja-JP"/>
              </w:rPr>
              <w:t>しゃ</w:t>
            </w:r>
            <w:r>
              <w:rPr>
                <w:rFonts w:ascii="ＭＳ 明朝" w:eastAsia="ＭＳ 明朝" w:cs="ＭＳ 明朝"/>
                <w:kern w:val="0"/>
                <w:sz w:val="22"/>
                <w:lang w:val="ja-JP"/>
              </w:rPr>
              <w:t>)</w:t>
            </w:r>
            <w:r>
              <w:rPr>
                <w:rFonts w:ascii="ＭＳ 明朝" w:eastAsia="ＭＳ 明朝" w:cs="ＭＳ 明朝" w:hint="eastAsia"/>
                <w:kern w:val="0"/>
                <w:sz w:val="22"/>
                <w:lang w:val="ja-JP"/>
              </w:rPr>
              <w:t>幕</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１張</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毛せん</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１枚</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長座布団</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１枚</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上敷</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１枚</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司会者台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演台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１台（花台を含む。）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音響反射板</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１式（天井反射板ライトを含む。）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スクリーン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照明設</w:t>
            </w:r>
          </w:p>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フットライト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ロアーホリゾントライト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ボーダーライト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アッパーホリゾントライト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センターピンスポットライト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ハロゲンプロジェクタースポットライト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１キロワットにつき</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オーロラマシン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ディスクマシン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波マシン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スパイラルマシン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マルチストロボ</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先玉</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１個</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ミラーボール</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スライドキャリア</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カレイドマシ</w:t>
            </w:r>
            <w:r>
              <w:rPr>
                <w:rFonts w:ascii="ＭＳ 明朝" w:eastAsia="ＭＳ 明朝" w:cs="ＭＳ 明朝" w:hint="eastAsia"/>
                <w:kern w:val="0"/>
                <w:sz w:val="22"/>
                <w:lang w:val="ja-JP"/>
              </w:rPr>
              <w:t>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音響設備器具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録音再生機器</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移動用スピーカー</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コンデンサーマイクロホン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ダイナミックマイクロホン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ワイヤレスマイクロホン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３点つりマイクロホン装置</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１式（マイクロホンを除く。）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サブミキサー</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１式（コードを含む。）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拡声装置</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１式（マイクロホンを除く。）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その他の設備器具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プロジェクター</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映像再生機器</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フルコンサートグランドピアノ</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１台（調律料を除く。）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アップライトピアノ</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１台（調律料を除く。）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展示用スポットライト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１個</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電源コンセント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１キロワットにつき</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大会議室音響設備</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１式（１回当たり）</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教養娯楽室音響設備</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１式（１回当たり）</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w:t>
            </w:r>
          </w:p>
        </w:tc>
      </w:tr>
      <w:tr w:rsidR="00000000">
        <w:tblPrEx>
          <w:tblCellMar>
            <w:top w:w="0" w:type="dxa"/>
            <w:left w:w="0" w:type="dxa"/>
            <w:bottom w:w="0" w:type="dxa"/>
            <w:right w:w="0" w:type="dxa"/>
          </w:tblCellMar>
        </w:tblPrEx>
        <w:tc>
          <w:tcPr>
            <w:tcW w:w="9299" w:type="dxa"/>
            <w:gridSpan w:val="4"/>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使用料（大会議室音響設備及び教養娯楽室音響設備に係る使用料を除く。以下この表において同じ。）は、午前９時から正午まで、午後１時から午後５時まで又は午後６時から午後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時までを単位とする。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スポットライト及</w:t>
            </w:r>
            <w:r>
              <w:rPr>
                <w:rFonts w:ascii="ＭＳ 明朝" w:eastAsia="ＭＳ 明朝" w:cs="ＭＳ 明朝" w:hint="eastAsia"/>
                <w:kern w:val="0"/>
                <w:sz w:val="22"/>
                <w:lang w:val="ja-JP"/>
              </w:rPr>
              <w:t>び電源コンセントの使用電力に１キロワット未満の端数があるとき、又は使用電力が１キロワット未満であるときは、これらを１キロワットとする。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３　ハーモニーホールを練習使用する場合における使用料及びハーモニーホール附属会議施設等で使用する場合における使用料については、１時間を単位とし、１時間当たりの使用料は、当該使用料の３分の１の額（</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円未満の端数があるときは、その端数金額を切り上げた額）とする。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４　ハーモニーホールを練習使用する場合及びハーモニーホール附属会議施設等で使用する場合における設備器具の使用時間が</w:t>
            </w:r>
            <w:r>
              <w:rPr>
                <w:rFonts w:ascii="ＭＳ 明朝" w:eastAsia="ＭＳ 明朝" w:cs="ＭＳ 明朝" w:hint="eastAsia"/>
                <w:kern w:val="0"/>
                <w:sz w:val="22"/>
                <w:lang w:val="ja-JP"/>
              </w:rPr>
              <w:t>１時間に満たないときの当該使用時間は、１時間とする。</w:t>
            </w:r>
          </w:p>
        </w:tc>
      </w:tr>
    </w:tbl>
    <w:p w:rsidR="00000000" w:rsidRDefault="00A657EE"/>
    <w:sectPr w:rsidR="00000000">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57EE">
      <w:r>
        <w:separator/>
      </w:r>
    </w:p>
  </w:endnote>
  <w:endnote w:type="continuationSeparator" w:id="0">
    <w:p w:rsidR="00000000" w:rsidRDefault="00A6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657EE">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57EE">
      <w:r>
        <w:separator/>
      </w:r>
    </w:p>
  </w:footnote>
  <w:footnote w:type="continuationSeparator" w:id="0">
    <w:p w:rsidR="00000000" w:rsidRDefault="00A65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EE"/>
    <w:rsid w:val="00A6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8974A9-7D16-43AB-B061-4FC27A0D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竜二郎(U3434)</dc:creator>
  <cp:keywords/>
  <dc:description/>
  <cp:lastModifiedBy>谷口　竜二郎(U3434)</cp:lastModifiedBy>
  <cp:revision>2</cp:revision>
  <dcterms:created xsi:type="dcterms:W3CDTF">2020-06-10T07:11:00Z</dcterms:created>
  <dcterms:modified xsi:type="dcterms:W3CDTF">2020-06-10T07:11:00Z</dcterms:modified>
</cp:coreProperties>
</file>